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МИНИСТЕРСТВО ФИНАНСОВ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ФЕДЕРАЛЬНАЯ НАЛОГОВАЯ СЛУЖБА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ПИСЬМО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от 4 сентября 2017 г. N ГД-4-8/17567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НАПРАВЛЕНИЕ ПИСЬМА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Федеральная налоговая служба для сведения и использования в работе направляет копию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письма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Министерства финансов Российской Федерации от 20.07.2017 N 03-02-07/2/46472 по вопросу применения статьи 46 Налогового кодекса Российской Федерации в отношении индивидуальных предпринимателей.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Вышеуказанную информацию необходимо довести до подведомственных налоговых органов.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Действительный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государственный советник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класса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Д.Ю.ГРИГОРЕНКО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МИНИСТЕРСТВО ФИНАНСОВ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ПИСЬМО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от 20 июля 2017 г. N 03-02-07/2/46472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Департамент налоговой и таможенной политики рассмотрел обращение ФНС России от 07.06.2017 N ГД-4-8/10730@ по вопросу о применении статьи 46 Налогового кодекса Российской Федерации (далее - Кодекс) в отношении индивидуальных предпринимателей и сообщает следующее.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Согласно пункту 1 статьи 46 Кодекса в случае неуплаты или неполной уплаты налога в установленный срок обязанность по уплате налога исполняется в принудительном порядке путем обращения его взыскания на денежные средства на счетах налогоплательщика - индивидуального предпринимателя в банках.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Счетами для целей Кодекса и иных актов законодательства о налогах и сборах признаются расчетные (текущие) и иные счета в банках, открытые на основании договора банковского счета (пункт 2 статьи 11 Кодекса).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Указанной статьей не предусмотрено ограничение по обращению взыскания налогов на счета физических лиц - индивидуальных предпринимателей (в том числе текущие счета), определенные пунктом 2 статьи 11 Кодекса, но открываемые не для осуществления предпринимательской деятельности.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основании пункта 5 статьи 46 Кодекса не производится взыскание налога с депозитного счета налогоплательщика, если не истек срок действия депозитного договора. При наличии указанного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(текущий) счет налогоплательщика, если к этому времени не будет исполнено направленное в этот банк поручение налогового органа на перечисление налога.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Статей 46 Кодекса не предусмотрено обращение взыскания налога на вклады.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Согласно пунктам 9 и 10 статьи 46 Кодекса положения этой статьи применяются также при взыскании сборов, страховых взносов, пеней и штрафов.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Заместитель директора Департамента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В.В.САШИЧЕВ</w:t>
      </w:r>
    </w:p>
    <w:sectPr>
      <w:headerReference r:id="rId5" w:type="first"/>
      <w:headerReference r:id="rId6" w:type="default"/>
      <w:footerReference r:id="rId7" w:type="first"/>
      <w:footerReference r:id="rId8" w:type="default"/>
      <w:pgSz w:h="16838" w:w="11906"/>
      <w:pgMar w:bottom="1440" w:top="1440" w:left="1133" w:right="566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2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rPr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b w:val="1"/>
              <w:smallCaps w:val="0"/>
              <w:color w:val="333399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center"/>
            <w:rPr>
              <w:b w:val="1"/>
              <w:smallCaps w:val="0"/>
              <w:color w:val="0000ff"/>
              <w:sz w:val="20"/>
              <w:szCs w:val="20"/>
            </w:rPr>
          </w:pPr>
          <w:hyperlink r:id="rId1">
            <w:r w:rsidDel="00000000" w:rsidR="00000000" w:rsidRPr="00000000">
              <w:rPr>
                <w:b w:val="1"/>
                <w:smallCaps w:val="0"/>
                <w:color w:val="0000ff"/>
                <w:sz w:val="20"/>
                <w:szCs w:val="20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right"/>
            <w:rPr>
              <w:smallCaps w:val="0"/>
              <w:sz w:val="20"/>
              <w:szCs w:val="20"/>
            </w:rPr>
          </w:pP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13"/>
      <w:gridCol w:w="511.0000000000002"/>
      <w:gridCol w:w="4083.000000000001"/>
      <w:tblGridChange w:id="0">
        <w:tblGrid>
          <w:gridCol w:w="5613"/>
          <w:gridCol w:w="511.0000000000002"/>
          <w:gridCol w:w="4083.000000000001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&lt;Письмо&gt; ФНС России от 04.09.2017 N ГД-4-8/17567</w:t>
            <w:br w:type="textWrapping"/>
            <w:t xml:space="preserve">"Направление письма"</w:t>
            <w:br w:type="textWrapping"/>
            <w:t xml:space="preserve">(вместе с &lt;Письмом&gt; Минфина России от 20.07.2017 N...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right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hyperlink r:id="rId1">
            <w:r w:rsidDel="00000000" w:rsidR="00000000" w:rsidRPr="00000000">
              <w:rPr>
                <w:smallCaps w:val="0"/>
                <w:color w:val="0000ff"/>
                <w:sz w:val="18"/>
                <w:szCs w:val="18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Дата сохранения: 27.09.2017</w:t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2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